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8A39D" w14:textId="77777777" w:rsidR="00A22275" w:rsidRDefault="00A22275" w:rsidP="00A22275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03C978C8" w14:textId="77777777" w:rsidR="00A22275" w:rsidRPr="008D1679" w:rsidRDefault="00A22275" w:rsidP="00A22275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632B53B7" w14:textId="77777777" w:rsidR="00A22275" w:rsidRPr="008D1679" w:rsidRDefault="00A22275" w:rsidP="00A22275">
      <w:pPr>
        <w:ind w:right="48"/>
        <w:rPr>
          <w:rFonts w:ascii="Arial" w:hAnsi="Arial" w:cs="Arial"/>
        </w:rPr>
      </w:pPr>
    </w:p>
    <w:p w14:paraId="10378320" w14:textId="77777777" w:rsidR="00A22275" w:rsidRPr="008D1679" w:rsidRDefault="00A22275" w:rsidP="00A22275">
      <w:pPr>
        <w:pBdr>
          <w:top w:val="single" w:sz="12" w:space="1" w:color="C0C0C0"/>
        </w:pBdr>
        <w:ind w:right="48"/>
        <w:rPr>
          <w:rFonts w:ascii="Arial" w:hAnsi="Arial" w:cs="Arial"/>
        </w:rPr>
      </w:pPr>
    </w:p>
    <w:p w14:paraId="5FB04BE2" w14:textId="77777777" w:rsidR="00911809" w:rsidRPr="004F6A01" w:rsidRDefault="00911809" w:rsidP="00911809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GOBIERNO</w:t>
      </w:r>
    </w:p>
    <w:p w14:paraId="095BFC1D" w14:textId="77777777" w:rsidR="00911809" w:rsidRDefault="00911809" w:rsidP="00911809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8E3A44D" w14:textId="77777777" w:rsidR="00911809" w:rsidRDefault="00911809" w:rsidP="00911809">
      <w:pPr>
        <w:ind w:left="142" w:right="48"/>
        <w:jc w:val="center"/>
        <w:rPr>
          <w:rFonts w:ascii="Arial" w:hAnsi="Arial" w:cs="Arial"/>
          <w:b/>
          <w:bCs/>
        </w:rPr>
      </w:pPr>
    </w:p>
    <w:p w14:paraId="26FF9935" w14:textId="77777777" w:rsidR="00A22275" w:rsidRDefault="00A22275" w:rsidP="00A22275">
      <w:pPr>
        <w:ind w:right="48"/>
        <w:jc w:val="center"/>
        <w:rPr>
          <w:rFonts w:ascii="Arial" w:hAnsi="Arial" w:cs="Arial"/>
          <w:b/>
          <w:bCs/>
        </w:rPr>
      </w:pPr>
      <w:bookmarkStart w:id="1" w:name="_GoBack"/>
      <w:bookmarkEnd w:id="1"/>
    </w:p>
    <w:p w14:paraId="36A55D06" w14:textId="77777777" w:rsidR="00A22275" w:rsidRPr="008D1679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57F8FE63" w14:textId="4343833E" w:rsidR="00A22275" w:rsidRPr="008D1679" w:rsidRDefault="00A22275" w:rsidP="00A22275">
      <w:pPr>
        <w:ind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0643F1EA" w14:textId="77777777" w:rsidR="00A22275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77A443B2" w14:textId="77777777" w:rsidR="00A22275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73C5EB83" w14:textId="77777777" w:rsidR="00A22275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0AE8F781" w14:textId="77777777" w:rsidR="00A22275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266BCD88" w14:textId="77777777" w:rsidR="00A22275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10B8A0B1" w14:textId="77777777" w:rsidR="00A22275" w:rsidRPr="008D1679" w:rsidRDefault="00A22275" w:rsidP="00A22275">
      <w:pPr>
        <w:ind w:right="48"/>
        <w:jc w:val="center"/>
        <w:rPr>
          <w:rFonts w:ascii="Arial" w:hAnsi="Arial" w:cs="Arial"/>
          <w:b/>
          <w:bCs/>
        </w:rPr>
      </w:pPr>
    </w:p>
    <w:p w14:paraId="15F96851" w14:textId="77777777" w:rsidR="00A22275" w:rsidRPr="008D1679" w:rsidRDefault="00A22275" w:rsidP="00A22275">
      <w:pPr>
        <w:ind w:right="48"/>
        <w:jc w:val="center"/>
        <w:outlineLvl w:val="0"/>
        <w:rPr>
          <w:rFonts w:ascii="Arial" w:hAnsi="Arial" w:cs="Arial"/>
          <w:b/>
          <w:bCs/>
        </w:rPr>
      </w:pPr>
    </w:p>
    <w:p w14:paraId="1C239FE1" w14:textId="3411ED9B" w:rsidR="00A22275" w:rsidRPr="008D1679" w:rsidRDefault="00A22275" w:rsidP="00A22275">
      <w:pPr>
        <w:ind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>
        <w:rPr>
          <w:rFonts w:ascii="Arial" w:hAnsi="Arial" w:cs="Arial"/>
          <w:b/>
          <w:bCs/>
          <w:sz w:val="32"/>
          <w:szCs w:val="32"/>
        </w:rPr>
        <w:t xml:space="preserve">ANEXO </w:t>
      </w:r>
      <w:r w:rsidR="00B8048F">
        <w:rPr>
          <w:rFonts w:ascii="Arial" w:hAnsi="Arial" w:cs="Arial"/>
          <w:b/>
          <w:bCs/>
          <w:sz w:val="32"/>
          <w:szCs w:val="32"/>
        </w:rPr>
        <w:t>6</w:t>
      </w:r>
    </w:p>
    <w:p w14:paraId="1DB933E9" w14:textId="77777777" w:rsidR="00A22275" w:rsidRPr="008D1679" w:rsidRDefault="00A22275" w:rsidP="00A22275">
      <w:pPr>
        <w:ind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5093BD2" w14:textId="59407AD0" w:rsidR="00A22275" w:rsidRDefault="00A22275" w:rsidP="00A22275">
      <w:pPr>
        <w:ind w:right="48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PROCEDIMIENTO DE REVISIÓN</w:t>
      </w:r>
    </w:p>
    <w:p w14:paraId="2E48E0C0" w14:textId="77777777" w:rsidR="00A22275" w:rsidRPr="008D1679" w:rsidRDefault="00A22275" w:rsidP="00A22275">
      <w:pPr>
        <w:ind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3CE2EA16" w14:textId="77777777" w:rsidR="00A22275" w:rsidRPr="008D1679" w:rsidRDefault="00A22275" w:rsidP="00A22275">
      <w:pPr>
        <w:ind w:right="48"/>
        <w:rPr>
          <w:rFonts w:ascii="Arial" w:hAnsi="Arial" w:cs="Arial"/>
        </w:rPr>
      </w:pPr>
      <w:bookmarkStart w:id="5" w:name="_DV_M22"/>
      <w:bookmarkEnd w:id="5"/>
    </w:p>
    <w:p w14:paraId="683B1AA4" w14:textId="77777777" w:rsidR="00A22275" w:rsidRPr="008D1679" w:rsidRDefault="00A22275" w:rsidP="00A22275">
      <w:pPr>
        <w:pBdr>
          <w:top w:val="single" w:sz="12" w:space="1" w:color="C0C0C0"/>
        </w:pBdr>
        <w:ind w:right="48"/>
        <w:rPr>
          <w:rFonts w:ascii="Arial" w:hAnsi="Arial" w:cs="Arial"/>
        </w:rPr>
      </w:pPr>
    </w:p>
    <w:p w14:paraId="3E79FED0" w14:textId="77777777" w:rsidR="00A22275" w:rsidRDefault="00A22275" w:rsidP="00A22275">
      <w:pPr>
        <w:ind w:right="48"/>
        <w:textAlignment w:val="baseline"/>
        <w:rPr>
          <w:rFonts w:ascii="Arial" w:eastAsia="MS Mincho" w:hAnsi="Arial" w:cs="Arial"/>
        </w:rPr>
      </w:pPr>
    </w:p>
    <w:p w14:paraId="6931475A" w14:textId="77777777" w:rsidR="00A22275" w:rsidRDefault="00A22275" w:rsidP="00A22275">
      <w:pPr>
        <w:ind w:right="48"/>
        <w:textAlignment w:val="baseline"/>
        <w:rPr>
          <w:rFonts w:ascii="Arial" w:eastAsia="MS Mincho" w:hAnsi="Arial" w:cs="Arial"/>
        </w:rPr>
      </w:pPr>
    </w:p>
    <w:p w14:paraId="228B4713" w14:textId="77777777" w:rsidR="00A22275" w:rsidRDefault="00A22275" w:rsidP="00A22275">
      <w:pPr>
        <w:ind w:right="48"/>
        <w:textAlignment w:val="baseline"/>
        <w:rPr>
          <w:rFonts w:ascii="Arial" w:eastAsia="MS Mincho" w:hAnsi="Arial" w:cs="Arial"/>
        </w:rPr>
      </w:pPr>
    </w:p>
    <w:p w14:paraId="543275A6" w14:textId="77777777" w:rsidR="00A22275" w:rsidRPr="008D1679" w:rsidRDefault="00A22275" w:rsidP="00A22275">
      <w:pPr>
        <w:ind w:right="48"/>
        <w:textAlignment w:val="baseline"/>
        <w:rPr>
          <w:rFonts w:ascii="Arial" w:eastAsia="MS Mincho" w:hAnsi="Arial" w:cs="Arial"/>
        </w:rPr>
      </w:pPr>
    </w:p>
    <w:p w14:paraId="2ED841AA" w14:textId="77777777" w:rsidR="00A22275" w:rsidRDefault="00A22275" w:rsidP="00A22275">
      <w:pPr>
        <w:ind w:right="48"/>
        <w:textAlignment w:val="baseline"/>
        <w:rPr>
          <w:rFonts w:ascii="Arial" w:eastAsia="MS Mincho" w:hAnsi="Arial" w:cs="Arial"/>
        </w:rPr>
      </w:pPr>
    </w:p>
    <w:p w14:paraId="011AE011" w14:textId="77777777" w:rsidR="00050A53" w:rsidRPr="00050A53" w:rsidRDefault="00050A53" w:rsidP="00050A53">
      <w:pPr>
        <w:pStyle w:val="Prrafodelista"/>
        <w:ind w:left="0" w:right="48"/>
        <w:jc w:val="both"/>
        <w:textAlignment w:val="baseline"/>
        <w:rPr>
          <w:rFonts w:ascii="Arial" w:hAnsi="Arial" w:cs="Arial"/>
          <w:b/>
          <w:bCs/>
        </w:rPr>
      </w:pPr>
      <w:r w:rsidRPr="00050A53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HIDALGO.</w:t>
      </w:r>
    </w:p>
    <w:p w14:paraId="166F9B41" w14:textId="49098CF7" w:rsidR="00595957" w:rsidRPr="00C64B74" w:rsidRDefault="00A22275" w:rsidP="00A22275">
      <w:pPr>
        <w:pStyle w:val="Prrafodelista"/>
        <w:numPr>
          <w:ilvl w:val="0"/>
          <w:numId w:val="17"/>
        </w:numPr>
        <w:spacing w:before="546" w:line="275" w:lineRule="exact"/>
        <w:ind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A47BE9">
        <w:rPr>
          <w:rFonts w:ascii="Arial" w:hAnsi="Arial" w:cs="Arial"/>
          <w:bCs/>
        </w:rPr>
        <w:br w:type="page"/>
      </w:r>
      <w:r w:rsidR="00595957" w:rsidRPr="00C64B74">
        <w:rPr>
          <w:rFonts w:ascii="Arial" w:eastAsia="Arial Narrow" w:hAnsi="Arial" w:cs="Arial"/>
          <w:b/>
          <w:color w:val="000000"/>
          <w:spacing w:val="1"/>
          <w:lang w:val="es-ES"/>
        </w:rPr>
        <w:lastRenderedPageBreak/>
        <w:t>Del Procedimiento de Revisión.</w:t>
      </w:r>
    </w:p>
    <w:p w14:paraId="166F9B42" w14:textId="77777777" w:rsidR="00595957" w:rsidRPr="00C64B74" w:rsidRDefault="00595957" w:rsidP="00595957">
      <w:pPr>
        <w:pStyle w:val="Prrafodelista"/>
        <w:spacing w:before="546" w:line="275" w:lineRule="exact"/>
        <w:ind w:left="360"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166F9B43" w14:textId="77777777" w:rsidR="00595957" w:rsidRPr="00C64B74" w:rsidRDefault="00595957" w:rsidP="00595957">
      <w:pPr>
        <w:pStyle w:val="Prrafodelista"/>
        <w:numPr>
          <w:ilvl w:val="1"/>
          <w:numId w:val="17"/>
        </w:numPr>
        <w:spacing w:before="546" w:line="275" w:lineRule="exact"/>
        <w:ind w:left="0" w:right="144" w:hanging="6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Con independencia de lo establecido en el presente Anexo, el Desarrollador será el único responsable ante la Secretaría por el cumplimiento de las obligaciones derivadas del Contrato y la Concesión. Asimismo, será obligación del Desarrollador cuando existan o puedan existir circunstancias o condiciones que impidan o puedan impedir, material o jurídicamente el cumplimiento de alguna o algunas de las obligaciones previstas en el Contrato, notificar por escrito a la Secretaría. Dicha notificación será considerada por la Secretaría como una </w:t>
      </w:r>
      <w:r w:rsidRPr="00C64B74">
        <w:rPr>
          <w:rFonts w:ascii="Arial" w:eastAsia="Arial Narrow" w:hAnsi="Arial" w:cs="Arial"/>
          <w:i/>
          <w:color w:val="000000"/>
          <w:spacing w:val="1"/>
          <w:lang w:val="es-ES"/>
        </w:rPr>
        <w:t xml:space="preserve">solicitud de revisión,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misma que se presentará y resolverá conforme a los requisitos y procedimiento señalados en el presente documento.</w:t>
      </w:r>
    </w:p>
    <w:p w14:paraId="166F9B44" w14:textId="77777777" w:rsidR="00595957" w:rsidRPr="00C64B74" w:rsidRDefault="00595957" w:rsidP="00595957">
      <w:pPr>
        <w:pStyle w:val="Prrafodelista"/>
        <w:spacing w:before="546" w:line="275" w:lineRule="exact"/>
        <w:ind w:left="0"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166F9B45" w14:textId="77777777" w:rsidR="00595957" w:rsidRPr="00C64B74" w:rsidRDefault="00595957" w:rsidP="00595957">
      <w:pPr>
        <w:pStyle w:val="Prrafodelista"/>
        <w:spacing w:before="546" w:line="275" w:lineRule="exact"/>
        <w:ind w:left="0" w:right="144"/>
        <w:jc w:val="both"/>
        <w:textAlignment w:val="baseline"/>
        <w:rPr>
          <w:rFonts w:ascii="Arial" w:eastAsia="Arial Narrow" w:hAnsi="Arial" w:cs="Arial"/>
          <w:color w:val="000000"/>
          <w:lang w:val="es-ES"/>
        </w:rPr>
      </w:pPr>
      <w:r w:rsidRPr="00C64B74">
        <w:rPr>
          <w:rFonts w:ascii="Arial" w:eastAsia="Arial Narrow" w:hAnsi="Arial" w:cs="Arial"/>
          <w:color w:val="000000"/>
          <w:lang w:val="es-ES"/>
        </w:rPr>
        <w:t>El objeto del presente Anexo es establecer el procedimiento que deberá cumplir el Desarrollador en los casos y eventos que requieran la revisión o aprobación de la Secretaría, en los términos establecidos en el Contrato.</w:t>
      </w:r>
    </w:p>
    <w:p w14:paraId="166F9B46" w14:textId="77777777" w:rsidR="00595957" w:rsidRPr="00C64B74" w:rsidRDefault="00595957" w:rsidP="00595957">
      <w:pPr>
        <w:pStyle w:val="Prrafodelista"/>
        <w:spacing w:before="546" w:line="275" w:lineRule="exact"/>
        <w:ind w:left="0" w:right="144"/>
        <w:jc w:val="both"/>
        <w:textAlignment w:val="baseline"/>
        <w:rPr>
          <w:rFonts w:ascii="Arial" w:eastAsia="Arial Narrow" w:hAnsi="Arial" w:cs="Arial"/>
          <w:color w:val="000000"/>
          <w:lang w:val="es-ES"/>
        </w:rPr>
      </w:pPr>
    </w:p>
    <w:p w14:paraId="166F9B47" w14:textId="421046AC" w:rsidR="00595957" w:rsidRPr="00C64B74" w:rsidRDefault="00595957" w:rsidP="00595957">
      <w:pPr>
        <w:pStyle w:val="Prrafodelista"/>
        <w:spacing w:before="546" w:line="275" w:lineRule="exact"/>
        <w:ind w:left="0" w:right="144"/>
        <w:jc w:val="both"/>
        <w:textAlignment w:val="baseline"/>
        <w:rPr>
          <w:rFonts w:ascii="Arial" w:eastAsia="Arial Narrow" w:hAnsi="Arial" w:cs="Arial"/>
          <w:color w:val="000000"/>
          <w:spacing w:val="2"/>
          <w:lang w:val="es-ES"/>
        </w:rPr>
      </w:pPr>
      <w:r w:rsidRPr="00C64B74">
        <w:rPr>
          <w:rFonts w:ascii="Arial" w:eastAsia="Arial Narrow" w:hAnsi="Arial" w:cs="Arial"/>
          <w:color w:val="000000"/>
          <w:spacing w:val="2"/>
          <w:lang w:val="es-ES"/>
        </w:rPr>
        <w:t xml:space="preserve">Las disposiciones del presente </w:t>
      </w:r>
      <w:r w:rsidR="000713D6" w:rsidRPr="00C64B74">
        <w:rPr>
          <w:rFonts w:ascii="Arial" w:eastAsia="Arial Narrow" w:hAnsi="Arial" w:cs="Arial"/>
          <w:color w:val="000000"/>
          <w:spacing w:val="2"/>
          <w:lang w:val="es-ES"/>
        </w:rPr>
        <w:t>Anexo</w:t>
      </w:r>
      <w:r w:rsidRPr="00C64B74">
        <w:rPr>
          <w:rFonts w:ascii="Arial" w:eastAsia="Arial Narrow" w:hAnsi="Arial" w:cs="Arial"/>
          <w:color w:val="000000"/>
          <w:spacing w:val="2"/>
          <w:lang w:val="es-ES"/>
        </w:rPr>
        <w:t xml:space="preserve"> no sustituyen ni pretenden regular actos de autoridad para los que se tengan disposiciones específicas conforme a las Leyes Aplicables, se refieren únicamente a una metodología aplicable para los eventos específicos sujetos a revisión que se enlistan a continuación y respecto a los lineamientos que deberán contener las solicitudes de dicho Procedimiento de Revisión.</w:t>
      </w:r>
    </w:p>
    <w:p w14:paraId="166F9B48" w14:textId="77777777" w:rsidR="00595957" w:rsidRPr="00C64B74" w:rsidRDefault="00595957" w:rsidP="00595957">
      <w:pPr>
        <w:pStyle w:val="Prrafodelista"/>
        <w:spacing w:before="546" w:line="275" w:lineRule="exact"/>
        <w:ind w:left="0"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166F9B49" w14:textId="616D102E" w:rsidR="00595957" w:rsidRPr="00C64B74" w:rsidRDefault="00595957" w:rsidP="00595957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Sin menoscabo de cualquier otra disposición del Contrato, los casos y eventos que deben someterse al Procedimiento de Revisión previstos en el </w:t>
      </w:r>
      <w:r w:rsidR="00ED1CA8" w:rsidRPr="00C64B74">
        <w:rPr>
          <w:rFonts w:ascii="Arial" w:eastAsia="Arial Narrow" w:hAnsi="Arial" w:cs="Arial"/>
          <w:color w:val="000000"/>
          <w:spacing w:val="1"/>
          <w:lang w:val="es-ES"/>
        </w:rPr>
        <w:t>mismo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son los siguientes:</w:t>
      </w:r>
    </w:p>
    <w:p w14:paraId="166F9B4A" w14:textId="77777777" w:rsidR="00595957" w:rsidRPr="00C64B74" w:rsidRDefault="00595957" w:rsidP="00595957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4B" w14:textId="5C3FC05D" w:rsidR="00595957" w:rsidRPr="00605935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Expedientes integrados por el Desarrollador para la Liberación del Derecho de Vía conforme al </w:t>
      </w:r>
      <w:r w:rsidRPr="00605935">
        <w:rPr>
          <w:rFonts w:ascii="Arial" w:eastAsia="Arial Narrow" w:hAnsi="Arial" w:cs="Arial"/>
          <w:color w:val="000000"/>
          <w:spacing w:val="1"/>
          <w:lang w:val="es-ES"/>
        </w:rPr>
        <w:t xml:space="preserve">Anexo </w:t>
      </w:r>
      <w:r w:rsidR="00605935" w:rsidRPr="00605935">
        <w:rPr>
          <w:rFonts w:ascii="Arial" w:eastAsia="Arial Narrow" w:hAnsi="Arial" w:cs="Arial"/>
          <w:color w:val="000000"/>
          <w:spacing w:val="1"/>
          <w:lang w:val="es-ES"/>
        </w:rPr>
        <w:t>4</w:t>
      </w:r>
      <w:r w:rsidRPr="00605935">
        <w:rPr>
          <w:rFonts w:ascii="Arial" w:eastAsia="Arial Narrow" w:hAnsi="Arial" w:cs="Arial"/>
          <w:color w:val="000000"/>
          <w:spacing w:val="1"/>
          <w:lang w:val="es-ES"/>
        </w:rPr>
        <w:t xml:space="preserve"> del Título de Concesión.</w:t>
      </w:r>
    </w:p>
    <w:p w14:paraId="166F9B4C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Modificación del Programa de Liberación de Derecho de Vía;</w:t>
      </w:r>
    </w:p>
    <w:p w14:paraId="166F9B4D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Modificaciones al Programa de Construcción;</w:t>
      </w:r>
    </w:p>
    <w:p w14:paraId="166F9B4E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Solicitud de Prórroga para el Inicio y Término de la Construcción;</w:t>
      </w:r>
    </w:p>
    <w:p w14:paraId="166F9B4F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Solicitud de Obras Adicionales o Inducidas;</w:t>
      </w:r>
    </w:p>
    <w:p w14:paraId="166F9B50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Solicitud de Mejoras;</w:t>
      </w:r>
    </w:p>
    <w:p w14:paraId="166F9B51" w14:textId="77777777" w:rsidR="00595957" w:rsidRPr="00C64B74" w:rsidRDefault="007D146E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Elaboración de Anteproyectos en Proyectos Ejecutivos y a</w:t>
      </w:r>
      <w:r w:rsidR="00595957" w:rsidRPr="00C64B74">
        <w:rPr>
          <w:rFonts w:ascii="Arial" w:eastAsia="Arial Narrow" w:hAnsi="Arial" w:cs="Arial"/>
          <w:color w:val="000000"/>
          <w:spacing w:val="1"/>
          <w:lang w:val="es-ES"/>
        </w:rPr>
        <w:t>justes al Proyecto Ejecutivo;</w:t>
      </w:r>
    </w:p>
    <w:p w14:paraId="166F9B52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Modificaciones a la estructura y Modelo Financiero;</w:t>
      </w:r>
    </w:p>
    <w:p w14:paraId="166F9B53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Refinanciamiento y Colocaciones Públicas;</w:t>
      </w:r>
    </w:p>
    <w:p w14:paraId="166F9B54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Reconocimiento de Inversiones Adicionales;</w:t>
      </w:r>
    </w:p>
    <w:p w14:paraId="166F9B55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Modificaciones al Contrato de Fideicomiso;</w:t>
      </w:r>
    </w:p>
    <w:p w14:paraId="166F9B56" w14:textId="77777777" w:rsidR="007D146E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Reconocimiento por parte de la Secretaría de eventos de Caso fortuito y Fuerza Mayor; </w:t>
      </w:r>
    </w:p>
    <w:p w14:paraId="166F9B57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Modificaciones al Programa de Operación;</w:t>
      </w:r>
    </w:p>
    <w:p w14:paraId="166F9B58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Modificaciones al Programa de Mantenimiento y Conservación;</w:t>
      </w:r>
    </w:p>
    <w:p w14:paraId="166F9B59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Solicitudes de Ampliaciones de la Autopista</w:t>
      </w:r>
      <w:r w:rsidR="0036491C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y de la Carretera Federal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;</w:t>
      </w:r>
    </w:p>
    <w:p w14:paraId="166F9B5A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Modificaciones a las cláusulas </w:t>
      </w:r>
      <w:r w:rsidR="00B640C0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o plazos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del Contrato;</w:t>
      </w:r>
    </w:p>
    <w:p w14:paraId="166F9B5B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Modificaciones a las condiciones o plazos de la Concesión</w:t>
      </w:r>
      <w:r w:rsidR="007D146E" w:rsidRPr="00C64B74">
        <w:rPr>
          <w:rFonts w:ascii="Arial" w:eastAsia="Arial Narrow" w:hAnsi="Arial" w:cs="Arial"/>
          <w:color w:val="000000"/>
          <w:spacing w:val="1"/>
          <w:lang w:val="es-ES"/>
        </w:rPr>
        <w:t>;</w:t>
      </w:r>
    </w:p>
    <w:p w14:paraId="166F9B5C" w14:textId="77777777" w:rsidR="007D146E" w:rsidRPr="00C64B74" w:rsidRDefault="007D146E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Ajustes al cumplimiento de obligaciones;</w:t>
      </w:r>
    </w:p>
    <w:p w14:paraId="166F9B5D" w14:textId="77777777" w:rsidR="00595957" w:rsidRPr="00C64B74" w:rsidRDefault="00595957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Procedimiento de entrega de los bienes afectos al Proyecto</w:t>
      </w:r>
      <w:r w:rsidR="007D146E" w:rsidRPr="00C64B74">
        <w:rPr>
          <w:rFonts w:ascii="Arial" w:eastAsia="Arial Narrow" w:hAnsi="Arial" w:cs="Arial"/>
          <w:color w:val="000000"/>
          <w:spacing w:val="1"/>
          <w:lang w:val="es-ES"/>
        </w:rPr>
        <w:t>; y</w:t>
      </w:r>
    </w:p>
    <w:p w14:paraId="166F9B5E" w14:textId="77777777" w:rsidR="007D146E" w:rsidRPr="00C64B74" w:rsidRDefault="007D146E" w:rsidP="00595957">
      <w:pPr>
        <w:pStyle w:val="Prrafodelista"/>
        <w:numPr>
          <w:ilvl w:val="0"/>
          <w:numId w:val="19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lastRenderedPageBreak/>
        <w:t>Modificación a los Servicios Auxiliares.</w:t>
      </w:r>
    </w:p>
    <w:p w14:paraId="166F9B5F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0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1" w14:textId="77777777" w:rsidR="00595957" w:rsidRPr="00C64B74" w:rsidRDefault="00595957" w:rsidP="00B640C0">
      <w:pPr>
        <w:pStyle w:val="Prrafodelista"/>
        <w:numPr>
          <w:ilvl w:val="0"/>
          <w:numId w:val="17"/>
        </w:numPr>
        <w:spacing w:before="546" w:line="275" w:lineRule="exact"/>
        <w:ind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b/>
          <w:color w:val="000000"/>
          <w:spacing w:val="1"/>
          <w:lang w:val="es-ES"/>
        </w:rPr>
        <w:t>De los lineamientos generales.</w:t>
      </w:r>
    </w:p>
    <w:p w14:paraId="166F9B62" w14:textId="77777777" w:rsidR="00B640C0" w:rsidRPr="00C64B74" w:rsidRDefault="00B640C0" w:rsidP="00B640C0">
      <w:pPr>
        <w:pStyle w:val="Prrafodelista"/>
        <w:spacing w:before="546" w:line="275" w:lineRule="exact"/>
        <w:ind w:left="360"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166F9B63" w14:textId="77777777" w:rsidR="00595957" w:rsidRPr="00C64B74" w:rsidRDefault="00595957" w:rsidP="00B640C0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En los casos en que, conforme a lo dispuesto en el Contrato, el Desarrollador presente una solicitud de Procedimiento de Revisión a la Secretaría, dicha solicitud, para su validez, deberá cumplir con los requisitos mínimos siguientes:</w:t>
      </w:r>
    </w:p>
    <w:p w14:paraId="166F9B64" w14:textId="77777777" w:rsidR="00B640C0" w:rsidRPr="00C64B74" w:rsidRDefault="00B640C0" w:rsidP="00B640C0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5" w14:textId="77777777" w:rsidR="00595957" w:rsidRPr="00C64B74" w:rsidRDefault="00595957" w:rsidP="00B640C0">
      <w:pPr>
        <w:pStyle w:val="Prrafodelista"/>
        <w:numPr>
          <w:ilvl w:val="0"/>
          <w:numId w:val="21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Nombre del titular de la Dirección de la Secretaría a quien se dirige, lugar y fecha de su emisión.</w:t>
      </w:r>
    </w:p>
    <w:p w14:paraId="166F9B66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7" w14:textId="77777777" w:rsidR="00595957" w:rsidRPr="00C64B74" w:rsidRDefault="00595957" w:rsidP="00B640C0">
      <w:pPr>
        <w:pStyle w:val="Prrafodelista"/>
        <w:numPr>
          <w:ilvl w:val="0"/>
          <w:numId w:val="21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La petición que se formula y los hechos o razones que dan motivo a la solicitud.</w:t>
      </w:r>
    </w:p>
    <w:p w14:paraId="166F9B68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9" w14:textId="77777777" w:rsidR="00595957" w:rsidRPr="00C64B74" w:rsidRDefault="00595957" w:rsidP="00B640C0">
      <w:pPr>
        <w:pStyle w:val="Prrafodelista"/>
        <w:numPr>
          <w:ilvl w:val="0"/>
          <w:numId w:val="21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Señalar el fundamento con base en la cláusula y sección del Contrato que da lugar a la solicitud.</w:t>
      </w:r>
    </w:p>
    <w:p w14:paraId="166F9B6A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B" w14:textId="77777777" w:rsidR="00595957" w:rsidRPr="00C64B74" w:rsidRDefault="00595957" w:rsidP="00B640C0">
      <w:pPr>
        <w:pStyle w:val="Prrafodelista"/>
        <w:numPr>
          <w:ilvl w:val="0"/>
          <w:numId w:val="21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Establecer el impacto técnico, legal y económico-financiero que tendrá en el desarrollo del Proyecto, el evento objeto del Procedimiento de Revisión.</w:t>
      </w:r>
    </w:p>
    <w:p w14:paraId="166F9B6C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D" w14:textId="77777777" w:rsidR="00595957" w:rsidRPr="00C64B74" w:rsidRDefault="00595957" w:rsidP="00B640C0">
      <w:pPr>
        <w:pStyle w:val="Prrafodelista"/>
        <w:numPr>
          <w:ilvl w:val="0"/>
          <w:numId w:val="21"/>
        </w:numPr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En su caso, la relación de permisos y/o autorizaciones gubernamentales necesarias para el cumplimiento de la obligación correspondiente.</w:t>
      </w:r>
    </w:p>
    <w:p w14:paraId="166F9B6E" w14:textId="77777777" w:rsidR="00B640C0" w:rsidRPr="00C64B74" w:rsidRDefault="00B640C0" w:rsidP="00B640C0">
      <w:pPr>
        <w:pStyle w:val="Prrafodelista"/>
        <w:ind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6F" w14:textId="77777777" w:rsidR="00595957" w:rsidRPr="00C64B74" w:rsidRDefault="00595957" w:rsidP="00B640C0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Para aquellos eventos que así se requiera de conformidad con lo dispuesto en</w:t>
      </w:r>
      <w:r w:rsidR="00B640C0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el Contrato, además de los requisitos enlistados anteriormente, el Desarrollador deberá cumplir con los términos, plazos y condiciones que se establezcan para cada caso, así como acompañar los dictámenes y la documentación técnica, jurídica y financiera, necesarios que justifiquen la solicitud de la que se trate.</w:t>
      </w:r>
    </w:p>
    <w:p w14:paraId="166F9B70" w14:textId="77777777" w:rsidR="00B640C0" w:rsidRPr="00C64B74" w:rsidRDefault="00B640C0" w:rsidP="00B640C0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1" w14:textId="418476E3" w:rsidR="00595957" w:rsidRPr="00C64B74" w:rsidRDefault="00595957" w:rsidP="00B640C0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Cada solicitud del </w:t>
      </w:r>
      <w:proofErr w:type="gramStart"/>
      <w:r w:rsidRPr="00C64B74">
        <w:rPr>
          <w:rFonts w:ascii="Arial" w:eastAsia="Arial Narrow" w:hAnsi="Arial" w:cs="Arial"/>
          <w:color w:val="000000"/>
          <w:spacing w:val="1"/>
          <w:lang w:val="es-ES"/>
        </w:rPr>
        <w:t>Desarrollador,</w:t>
      </w:r>
      <w:proofErr w:type="gramEnd"/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deberá acompañarse con una copia de los documentos que pretenden someterse al Procedimiento de</w:t>
      </w:r>
      <w:r w:rsidR="00B640C0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Revisión, y con una descripción de las acciones a realizar. Toda la información relacionada con obras o planos deberá estar</w:t>
      </w:r>
      <w:r w:rsidR="00B640C0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revisada y firmada por el representante legal del Desarrollador y el Supervisor o Supervisor de Construcción, según corresponda. Se deberá integrar una copia en versión</w:t>
      </w:r>
      <w:r w:rsidR="00B640C0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electrónica</w:t>
      </w:r>
      <w:r w:rsidR="00B640C0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de los documentos presentados a revisión (de preferencia en formatos modificables en programas Word o Excel, según sea el caso, y la información técnica de planos en archivos tipo CAD, versión 2010 o cualquier otra que determinen las partes en conjunto posteriormente) así como un listado completo y detallado de los planos entregados a revisión, incluyendo nombre y clave de cada uno. El tamaño de los archivos de la información </w:t>
      </w:r>
      <w:r w:rsidR="000E6D66" w:rsidRPr="00C64B74">
        <w:rPr>
          <w:rFonts w:ascii="Arial" w:eastAsia="Arial Narrow" w:hAnsi="Arial" w:cs="Arial"/>
          <w:color w:val="000000"/>
          <w:spacing w:val="1"/>
          <w:lang w:val="es-ES"/>
        </w:rPr>
        <w:t>técnica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deberá permitir el fácil análisis de la información en equipos de cómputo de capacidad de procesamiento estándar o baja.</w:t>
      </w:r>
    </w:p>
    <w:p w14:paraId="166F9B72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3" w14:textId="77777777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Para el caso de solicitud de mejoras anteriormente relacionado, el Desarrollador deberá iniciar el Procedimiento de Revisión adjuntando el Proyecto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Ejecutivo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correspond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>i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ente debidamente desarrollado, cuantificado y presupuestado, así como la comparación de la propuesta de que se trate con la solución originalmente prevista en el Proyecto Ejecutivo, incluyendo la justificación correspondiente por lo menos con 45 (cuarenta y cinco) Días Hábiles de anticipación a la ejecución de las Obras.</w:t>
      </w:r>
    </w:p>
    <w:p w14:paraId="166F9B74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5" w14:textId="77777777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Cuando el Desarrollador presente a la Secretaría una notificación derivada de eventos de Caso Fortuito o Fuerza Mayor, adicionalmente se estará a lo dispuesto en la Cláusula Décima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="00053991" w:rsidRPr="00C64B74">
        <w:rPr>
          <w:rFonts w:ascii="Arial" w:eastAsia="Arial Narrow" w:hAnsi="Arial" w:cs="Arial"/>
          <w:color w:val="000000"/>
          <w:spacing w:val="1"/>
          <w:lang w:val="es-ES"/>
        </w:rPr>
        <w:t>Tercera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del Contrato.</w:t>
      </w:r>
    </w:p>
    <w:p w14:paraId="166F9B76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7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8" w14:textId="77777777" w:rsidR="00595957" w:rsidRPr="00C64B74" w:rsidRDefault="00595957" w:rsidP="008B7BA3">
      <w:pPr>
        <w:pStyle w:val="Prrafodelista"/>
        <w:numPr>
          <w:ilvl w:val="0"/>
          <w:numId w:val="17"/>
        </w:numPr>
        <w:spacing w:before="546" w:line="275" w:lineRule="exact"/>
        <w:ind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b/>
          <w:color w:val="000000"/>
          <w:spacing w:val="1"/>
          <w:lang w:val="es-ES"/>
        </w:rPr>
        <w:t>De los plazos y la tramitación de solicitudes.</w:t>
      </w:r>
    </w:p>
    <w:p w14:paraId="166F9B79" w14:textId="77777777" w:rsidR="008B7BA3" w:rsidRPr="00C64B74" w:rsidRDefault="008B7BA3" w:rsidP="008B7BA3">
      <w:pPr>
        <w:pStyle w:val="Prrafodelista"/>
        <w:spacing w:before="546" w:line="275" w:lineRule="exact"/>
        <w:ind w:left="360" w:right="144"/>
        <w:jc w:val="both"/>
        <w:textAlignment w:val="baseline"/>
        <w:rPr>
          <w:rFonts w:ascii="Arial" w:eastAsia="Arial Narrow" w:hAnsi="Arial" w:cs="Arial"/>
          <w:b/>
          <w:color w:val="000000"/>
          <w:spacing w:val="1"/>
          <w:lang w:val="es-ES"/>
        </w:rPr>
      </w:pPr>
    </w:p>
    <w:p w14:paraId="166F9B7A" w14:textId="77777777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La Secretaría resolverá sobre la procedencia de la solicitud de Procedimiento de Revisión en un plazo que no excederá de 20 (veinte)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Días Hábiles contados a partir de la fecha de presentación de la solicitud correspondiente. La Secretaría podrá extender el plazo referido en este párrafo.</w:t>
      </w:r>
    </w:p>
    <w:p w14:paraId="166F9B7B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C" w14:textId="77777777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En el evento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de que la Secretaría, requiera información adicional por parte del Desarrollador o estime que la solicitud correspondiente no sea, a su juicio, procedente, lo hará de su conocimiento, para que el Desarrollador exponga su conformidad o desacuerdo, hecho lo cual la Secretaría resolverá lo conducente. En los supuestos señalados en este párrafo, el Desarrollador deberá responder a la Secretaría en un plazo que no exceda de 5 (cinco)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Días Hábiles contados a partir de la fecha en que reciba el requerimiento o notificación correspondiente. Si el Desarrollador no proporciona la información solicitada en el plazo antes señalado, la Secretaría podrá negar la solicitud.</w:t>
      </w:r>
    </w:p>
    <w:p w14:paraId="166F9B7D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7E" w14:textId="77777777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La Secretaría establecerá en su resolución, los términos y condiciones bajo los cuales el Desarrollador deberá llevar a cabo las acciones derivadas de su solicitud, sin perjuicio de las sanciones que en su caso procedan conforme a las Leyes Aplicables y sin que ello signifique la modificación de otros plazos, términos y condiciones establecidos en el Contrato o la Concesión, salvo en el caso de que en forma expresa así lo apruebe la Secretaría en la resolución respectiva.</w:t>
      </w:r>
    </w:p>
    <w:p w14:paraId="166F9B7F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80" w14:textId="0C2CCF46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Salvo </w:t>
      </w:r>
      <w:r w:rsidR="00D5471F" w:rsidRPr="00C64B74">
        <w:rPr>
          <w:rFonts w:ascii="Arial" w:eastAsia="Arial Narrow" w:hAnsi="Arial" w:cs="Arial"/>
          <w:color w:val="000000"/>
          <w:spacing w:val="1"/>
          <w:lang w:val="es-ES"/>
        </w:rPr>
        <w:t>que,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en otra disposición legal o administrativa de carácter general, se establezca algún otro plazo, no podrá exceder de un plazo de 3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(tres) meses para que la Secretaría resuelva lo que corresponda. Transcurrido el plazo antes mencionado, se entenderán las resoluciones en sentido negativo al Desarrollador, a menos que en otra disposición legal o administrativa de carácter general, se prevea lo contrario.</w:t>
      </w:r>
    </w:p>
    <w:p w14:paraId="166F9B81" w14:textId="77777777" w:rsidR="008B7BA3" w:rsidRPr="00C64B74" w:rsidRDefault="008B7BA3" w:rsidP="008B7BA3">
      <w:pPr>
        <w:pStyle w:val="Prrafodelista"/>
        <w:ind w:left="0" w:right="142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</w:p>
    <w:p w14:paraId="166F9B82" w14:textId="77777777" w:rsidR="00595957" w:rsidRPr="00C64B74" w:rsidRDefault="00595957" w:rsidP="008B7BA3">
      <w:pPr>
        <w:pStyle w:val="Prrafodelista"/>
        <w:numPr>
          <w:ilvl w:val="1"/>
          <w:numId w:val="17"/>
        </w:numPr>
        <w:ind w:left="0" w:right="142" w:hanging="6"/>
        <w:jc w:val="both"/>
        <w:textAlignment w:val="baseline"/>
        <w:rPr>
          <w:rFonts w:ascii="Arial" w:eastAsia="Arial Narrow" w:hAnsi="Arial" w:cs="Arial"/>
          <w:color w:val="000000"/>
          <w:spacing w:val="1"/>
          <w:lang w:val="es-ES"/>
        </w:rPr>
      </w:pPr>
      <w:r w:rsidRPr="00C64B74">
        <w:rPr>
          <w:rFonts w:ascii="Arial" w:eastAsia="Arial Narrow" w:hAnsi="Arial" w:cs="Arial"/>
          <w:color w:val="000000"/>
          <w:spacing w:val="1"/>
          <w:lang w:val="es-ES"/>
        </w:rPr>
        <w:t>Cuando se trate del estudio y análisis de información técnica y financiera, como es el caso de Proyectos Ejecutivos, Modificaciones al Proyecto Ejecutivo, Innovaciones o Mejoras de Proyectos, Obras Adicionales, entre otros, la Secretaría podrá prorrogar por otros 3</w:t>
      </w:r>
      <w:r w:rsidR="008B7BA3" w:rsidRPr="00C64B74">
        <w:rPr>
          <w:rFonts w:ascii="Arial" w:eastAsia="Arial Narrow" w:hAnsi="Arial" w:cs="Arial"/>
          <w:color w:val="000000"/>
          <w:spacing w:val="1"/>
          <w:lang w:val="es-ES"/>
        </w:rPr>
        <w:t xml:space="preserve"> </w:t>
      </w:r>
      <w:r w:rsidRPr="00C64B74">
        <w:rPr>
          <w:rFonts w:ascii="Arial" w:eastAsia="Arial Narrow" w:hAnsi="Arial" w:cs="Arial"/>
          <w:color w:val="000000"/>
          <w:spacing w:val="1"/>
          <w:lang w:val="es-ES"/>
        </w:rPr>
        <w:t>(tres) meses la resolución correspondiente.</w:t>
      </w:r>
    </w:p>
    <w:p w14:paraId="166F9B83" w14:textId="77777777" w:rsidR="00B030F0" w:rsidRPr="00595957" w:rsidRDefault="00595957" w:rsidP="008B7BA3">
      <w:pPr>
        <w:spacing w:before="276" w:after="2688" w:line="275" w:lineRule="exact"/>
        <w:ind w:left="144" w:right="144"/>
        <w:jc w:val="both"/>
        <w:textAlignment w:val="baseline"/>
        <w:rPr>
          <w:rFonts w:ascii="Arial" w:hAnsi="Arial" w:cs="Arial"/>
          <w:b/>
          <w:lang w:val="es-ES"/>
        </w:rPr>
      </w:pPr>
      <w:r w:rsidRPr="00C64B74">
        <w:rPr>
          <w:rFonts w:ascii="Arial" w:eastAsia="Arial Narrow" w:hAnsi="Arial" w:cs="Arial"/>
          <w:color w:val="000000"/>
          <w:lang w:val="es-ES"/>
        </w:rPr>
        <w:t xml:space="preserve">La presentación de una solicitud del Procedimiento de Revisión en los términos </w:t>
      </w:r>
      <w:r w:rsidR="008B7BA3" w:rsidRPr="00C64B74">
        <w:rPr>
          <w:rFonts w:ascii="Arial" w:eastAsia="Arial Narrow" w:hAnsi="Arial" w:cs="Arial"/>
          <w:color w:val="000000"/>
          <w:lang w:val="es-ES"/>
        </w:rPr>
        <w:t>previstos en el presente Anexo, Contrato y</w:t>
      </w:r>
      <w:r w:rsidRPr="00C64B74">
        <w:rPr>
          <w:rFonts w:ascii="Arial" w:eastAsia="Arial Narrow" w:hAnsi="Arial" w:cs="Arial"/>
          <w:color w:val="000000"/>
          <w:lang w:val="es-ES"/>
        </w:rPr>
        <w:t xml:space="preserve"> en el Título de Concesión, no libera al Desarrollador del cumplimiento de sus obligaciones derivadas del Contrato, el Título de Concesión y de su Propuesta.</w:t>
      </w:r>
    </w:p>
    <w:sectPr w:rsidR="00B030F0" w:rsidRPr="00595957" w:rsidSect="00595957">
      <w:headerReference w:type="default" r:id="rId10"/>
      <w:footerReference w:type="default" r:id="rId11"/>
      <w:pgSz w:w="12240" w:h="15840"/>
      <w:pgMar w:top="2230" w:right="1418" w:bottom="1418" w:left="1701" w:header="426" w:footer="1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C9600" w14:textId="77777777" w:rsidR="006E32A7" w:rsidRDefault="006E32A7" w:rsidP="00D96AD1">
      <w:r>
        <w:separator/>
      </w:r>
    </w:p>
  </w:endnote>
  <w:endnote w:type="continuationSeparator" w:id="0">
    <w:p w14:paraId="0E5B30E3" w14:textId="77777777" w:rsidR="006E32A7" w:rsidRDefault="006E32A7" w:rsidP="00D9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09"/>
      <w:gridCol w:w="3126"/>
      <w:gridCol w:w="3102"/>
    </w:tblGrid>
    <w:tr w:rsidR="001977B3" w14:paraId="03B4120E" w14:textId="77777777" w:rsidTr="002460D5">
      <w:tc>
        <w:tcPr>
          <w:tcW w:w="3596" w:type="dxa"/>
          <w:vAlign w:val="center"/>
        </w:tcPr>
        <w:p w14:paraId="7B16A2FE" w14:textId="77777777" w:rsidR="001977B3" w:rsidRDefault="001977B3" w:rsidP="001977B3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2E77E6BB" w14:textId="6B2ADA03" w:rsidR="001977B3" w:rsidRPr="00802CA5" w:rsidRDefault="001977B3" w:rsidP="001977B3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>NEXO 6</w:t>
          </w:r>
        </w:p>
        <w:p w14:paraId="48DB6288" w14:textId="77777777" w:rsidR="001977B3" w:rsidRPr="00802CA5" w:rsidRDefault="001977B3" w:rsidP="001977B3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235FEA01" w14:textId="77777777" w:rsidR="001977B3" w:rsidRPr="00802CA5" w:rsidRDefault="001977B3" w:rsidP="001977B3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31A0DFBD" w14:textId="059B5EDA" w:rsidR="001977B3" w:rsidRPr="00802CA5" w:rsidRDefault="001977B3" w:rsidP="001977B3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A722C6">
            <w:rPr>
              <w:rFonts w:ascii="Arial" w:hAnsi="Arial" w:cs="Arial"/>
              <w:b/>
              <w:sz w:val="16"/>
            </w:rPr>
            <w:fldChar w:fldCharType="begin"/>
          </w:r>
          <w:r w:rsidRPr="00A722C6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A722C6">
            <w:rPr>
              <w:rFonts w:ascii="Arial" w:hAnsi="Arial" w:cs="Arial"/>
              <w:b/>
              <w:sz w:val="16"/>
            </w:rPr>
            <w:fldChar w:fldCharType="separate"/>
          </w:r>
          <w:r w:rsidRPr="00A722C6">
            <w:rPr>
              <w:rFonts w:ascii="Arial" w:hAnsi="Arial" w:cs="Arial"/>
              <w:b/>
              <w:sz w:val="16"/>
            </w:rPr>
            <w:t>1</w:t>
          </w:r>
          <w:r w:rsidRPr="00A722C6">
            <w:rPr>
              <w:rFonts w:ascii="Arial" w:hAnsi="Arial" w:cs="Arial"/>
              <w:b/>
              <w:sz w:val="16"/>
            </w:rPr>
            <w:fldChar w:fldCharType="end"/>
          </w:r>
          <w:r w:rsidRPr="00A722C6">
            <w:rPr>
              <w:rFonts w:ascii="Arial" w:hAnsi="Arial" w:cs="Arial"/>
              <w:b/>
              <w:sz w:val="16"/>
            </w:rPr>
            <w:t xml:space="preserve"> de </w:t>
          </w:r>
          <w:r w:rsidR="006F36AF">
            <w:rPr>
              <w:rFonts w:ascii="Arial" w:hAnsi="Arial" w:cs="Arial"/>
              <w:b/>
              <w:sz w:val="16"/>
            </w:rPr>
            <w:t>4</w:t>
          </w:r>
        </w:p>
      </w:tc>
    </w:tr>
  </w:tbl>
  <w:p w14:paraId="43001562" w14:textId="77777777" w:rsidR="00E702BA" w:rsidRDefault="00E702BA" w:rsidP="00E702BA"/>
  <w:p w14:paraId="166F9B96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093B2" w14:textId="77777777" w:rsidR="006E32A7" w:rsidRDefault="006E32A7" w:rsidP="00D96AD1">
      <w:r>
        <w:separator/>
      </w:r>
    </w:p>
  </w:footnote>
  <w:footnote w:type="continuationSeparator" w:id="0">
    <w:p w14:paraId="26A31D4E" w14:textId="77777777" w:rsidR="006E32A7" w:rsidRDefault="006E32A7" w:rsidP="00D9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915EEE" w:rsidRPr="00C85237" w14:paraId="3C3BF518" w14:textId="77777777" w:rsidTr="00D977F6">
      <w:trPr>
        <w:jc w:val="center"/>
      </w:trPr>
      <w:tc>
        <w:tcPr>
          <w:tcW w:w="2547" w:type="dxa"/>
          <w:vAlign w:val="center"/>
        </w:tcPr>
        <w:p w14:paraId="2B0F6A37" w14:textId="77777777" w:rsidR="00915EEE" w:rsidRPr="00C85237" w:rsidRDefault="006A201E" w:rsidP="00915EEE">
          <w:pPr>
            <w:pStyle w:val="Encabezado"/>
            <w:ind w:left="-52"/>
            <w:jc w:val="center"/>
          </w:pPr>
          <w:r w:rsidRPr="00C85237">
            <w:rPr>
              <w:noProof/>
              <w:sz w:val="22"/>
              <w:szCs w:val="22"/>
              <w:lang w:eastAsia="en-US"/>
            </w:rPr>
            <w:object w:dxaOrig="2220" w:dyaOrig="2580" w14:anchorId="63366EF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874" r:id="rId2"/>
            </w:object>
          </w:r>
        </w:p>
      </w:tc>
      <w:tc>
        <w:tcPr>
          <w:tcW w:w="4120" w:type="dxa"/>
          <w:vAlign w:val="center"/>
        </w:tcPr>
        <w:p w14:paraId="096A9C00" w14:textId="77777777" w:rsidR="00915EEE" w:rsidRPr="00C85237" w:rsidRDefault="00915EEE" w:rsidP="00915EEE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59EF5236" w14:textId="77777777" w:rsidR="00915EEE" w:rsidRPr="00C85237" w:rsidRDefault="00915EEE" w:rsidP="00915EEE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4D31D3E2" w14:textId="3FDFF9D5" w:rsidR="00915EEE" w:rsidRPr="00C85237" w:rsidRDefault="00915EEE" w:rsidP="00915EEE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6A201E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0B9A5F05" w14:textId="77777777" w:rsidR="00915EEE" w:rsidRPr="00C85237" w:rsidRDefault="00915EEE" w:rsidP="00915EEE">
          <w:pPr>
            <w:pStyle w:val="TableParagraph"/>
            <w:jc w:val="center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2ACF9FD3" wp14:editId="7A331905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F9B8E" w14:textId="77777777" w:rsidR="00C25469" w:rsidRDefault="00C254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A863AE"/>
    <w:multiLevelType w:val="multilevel"/>
    <w:tmpl w:val="C8F609AC"/>
    <w:lvl w:ilvl="0">
      <w:start w:val="1"/>
      <w:numFmt w:val="lowerLetter"/>
      <w:lvlText w:val="%1)"/>
      <w:lvlJc w:val="left"/>
      <w:pPr>
        <w:tabs>
          <w:tab w:val="left" w:pos="432"/>
        </w:tabs>
        <w:ind w:left="720"/>
      </w:pPr>
      <w:rPr>
        <w:rFonts w:ascii="Arial Narrow" w:eastAsia="Arial Narrow" w:hAnsi="Arial Narrow"/>
        <w:strike w:val="0"/>
        <w:color w:val="000000"/>
        <w:spacing w:val="0"/>
        <w:w w:val="100"/>
        <w:sz w:val="24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6760C2"/>
    <w:multiLevelType w:val="hybridMultilevel"/>
    <w:tmpl w:val="901E6350"/>
    <w:lvl w:ilvl="0" w:tplc="4BDEFF52">
      <w:start w:val="1"/>
      <w:numFmt w:val="lowerLetter"/>
      <w:lvlText w:val="%1)"/>
      <w:lvlJc w:val="left"/>
      <w:pPr>
        <w:ind w:left="1224" w:hanging="360"/>
      </w:pPr>
      <w:rPr>
        <w:rFonts w:ascii="Calibri" w:hAnsi="Calibri" w:hint="default"/>
      </w:rPr>
    </w:lvl>
    <w:lvl w:ilvl="1" w:tplc="080A0019" w:tentative="1">
      <w:start w:val="1"/>
      <w:numFmt w:val="lowerLetter"/>
      <w:lvlText w:val="%2."/>
      <w:lvlJc w:val="left"/>
      <w:pPr>
        <w:ind w:left="1944" w:hanging="360"/>
      </w:pPr>
    </w:lvl>
    <w:lvl w:ilvl="2" w:tplc="080A001B" w:tentative="1">
      <w:start w:val="1"/>
      <w:numFmt w:val="lowerRoman"/>
      <w:lvlText w:val="%3."/>
      <w:lvlJc w:val="right"/>
      <w:pPr>
        <w:ind w:left="2664" w:hanging="180"/>
      </w:pPr>
    </w:lvl>
    <w:lvl w:ilvl="3" w:tplc="080A000F" w:tentative="1">
      <w:start w:val="1"/>
      <w:numFmt w:val="decimal"/>
      <w:lvlText w:val="%4."/>
      <w:lvlJc w:val="left"/>
      <w:pPr>
        <w:ind w:left="3384" w:hanging="360"/>
      </w:pPr>
    </w:lvl>
    <w:lvl w:ilvl="4" w:tplc="080A0019" w:tentative="1">
      <w:start w:val="1"/>
      <w:numFmt w:val="lowerLetter"/>
      <w:lvlText w:val="%5."/>
      <w:lvlJc w:val="left"/>
      <w:pPr>
        <w:ind w:left="4104" w:hanging="360"/>
      </w:pPr>
    </w:lvl>
    <w:lvl w:ilvl="5" w:tplc="080A001B" w:tentative="1">
      <w:start w:val="1"/>
      <w:numFmt w:val="lowerRoman"/>
      <w:lvlText w:val="%6."/>
      <w:lvlJc w:val="right"/>
      <w:pPr>
        <w:ind w:left="4824" w:hanging="180"/>
      </w:pPr>
    </w:lvl>
    <w:lvl w:ilvl="6" w:tplc="080A000F" w:tentative="1">
      <w:start w:val="1"/>
      <w:numFmt w:val="decimal"/>
      <w:lvlText w:val="%7."/>
      <w:lvlJc w:val="left"/>
      <w:pPr>
        <w:ind w:left="5544" w:hanging="360"/>
      </w:pPr>
    </w:lvl>
    <w:lvl w:ilvl="7" w:tplc="080A0019" w:tentative="1">
      <w:start w:val="1"/>
      <w:numFmt w:val="lowerLetter"/>
      <w:lvlText w:val="%8."/>
      <w:lvlJc w:val="left"/>
      <w:pPr>
        <w:ind w:left="6264" w:hanging="360"/>
      </w:pPr>
    </w:lvl>
    <w:lvl w:ilvl="8" w:tplc="080A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6" w15:restartNumberingAfterBreak="0">
    <w:nsid w:val="298F1FD9"/>
    <w:multiLevelType w:val="multilevel"/>
    <w:tmpl w:val="F4E807F4"/>
    <w:lvl w:ilvl="0">
      <w:start w:val="1"/>
      <w:numFmt w:val="lowerLetter"/>
      <w:lvlText w:val="%1)"/>
      <w:lvlJc w:val="left"/>
      <w:pPr>
        <w:tabs>
          <w:tab w:val="left" w:pos="432"/>
        </w:tabs>
        <w:ind w:left="720"/>
      </w:pPr>
      <w:rPr>
        <w:rFonts w:ascii="Arial Narrow" w:eastAsia="Arial Narrow" w:hAnsi="Arial Narrow"/>
        <w:strike w:val="0"/>
        <w:color w:val="000000"/>
        <w:spacing w:val="0"/>
        <w:w w:val="100"/>
        <w:sz w:val="24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336E01"/>
    <w:multiLevelType w:val="multilevel"/>
    <w:tmpl w:val="C10ED31E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0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A687A6D"/>
    <w:multiLevelType w:val="multilevel"/>
    <w:tmpl w:val="0178BB20"/>
    <w:lvl w:ilvl="0">
      <w:start w:val="13"/>
      <w:numFmt w:val="lowerLetter"/>
      <w:lvlText w:val="%1)"/>
      <w:lvlJc w:val="left"/>
      <w:pPr>
        <w:tabs>
          <w:tab w:val="left" w:pos="432"/>
        </w:tabs>
        <w:ind w:left="720"/>
      </w:pPr>
      <w:rPr>
        <w:rFonts w:ascii="Arial Narrow" w:eastAsia="Arial Narrow" w:hAnsi="Arial Narrow"/>
        <w:strike w:val="0"/>
        <w:color w:val="000000"/>
        <w:spacing w:val="0"/>
        <w:w w:val="100"/>
        <w:sz w:val="24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035CE"/>
    <w:multiLevelType w:val="hybridMultilevel"/>
    <w:tmpl w:val="87C4F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15" w15:restartNumberingAfterBreak="0">
    <w:nsid w:val="54F87207"/>
    <w:multiLevelType w:val="hybridMultilevel"/>
    <w:tmpl w:val="E420533E"/>
    <w:lvl w:ilvl="0" w:tplc="84202E2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B67"/>
    <w:multiLevelType w:val="hybridMultilevel"/>
    <w:tmpl w:val="87C4F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B7054A0"/>
    <w:multiLevelType w:val="multilevel"/>
    <w:tmpl w:val="84C61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8"/>
  </w:num>
  <w:num w:numId="5">
    <w:abstractNumId w:val="12"/>
  </w:num>
  <w:num w:numId="6">
    <w:abstractNumId w:val="16"/>
  </w:num>
  <w:num w:numId="7">
    <w:abstractNumId w:val="5"/>
  </w:num>
  <w:num w:numId="8">
    <w:abstractNumId w:val="1"/>
  </w:num>
  <w:num w:numId="9">
    <w:abstractNumId w:val="7"/>
  </w:num>
  <w:num w:numId="10">
    <w:abstractNumId w:val="20"/>
  </w:num>
  <w:num w:numId="11">
    <w:abstractNumId w:val="14"/>
  </w:num>
  <w:num w:numId="12">
    <w:abstractNumId w:val="2"/>
  </w:num>
  <w:num w:numId="13">
    <w:abstractNumId w:val="19"/>
  </w:num>
  <w:num w:numId="14">
    <w:abstractNumId w:val="6"/>
  </w:num>
  <w:num w:numId="15">
    <w:abstractNumId w:val="11"/>
  </w:num>
  <w:num w:numId="16">
    <w:abstractNumId w:val="3"/>
  </w:num>
  <w:num w:numId="17">
    <w:abstractNumId w:val="21"/>
  </w:num>
  <w:num w:numId="18">
    <w:abstractNumId w:val="4"/>
  </w:num>
  <w:num w:numId="19">
    <w:abstractNumId w:val="17"/>
  </w:num>
  <w:num w:numId="20">
    <w:abstractNumId w:val="15"/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AD1"/>
    <w:rsid w:val="00050A53"/>
    <w:rsid w:val="00053991"/>
    <w:rsid w:val="000713D6"/>
    <w:rsid w:val="00071FE8"/>
    <w:rsid w:val="00081CDA"/>
    <w:rsid w:val="00082437"/>
    <w:rsid w:val="000A215C"/>
    <w:rsid w:val="000A48B2"/>
    <w:rsid w:val="000C0141"/>
    <w:rsid w:val="000D6FBE"/>
    <w:rsid w:val="000E437D"/>
    <w:rsid w:val="000E6833"/>
    <w:rsid w:val="000E6D66"/>
    <w:rsid w:val="000F510D"/>
    <w:rsid w:val="00152009"/>
    <w:rsid w:val="00171DCB"/>
    <w:rsid w:val="0017347F"/>
    <w:rsid w:val="0017605A"/>
    <w:rsid w:val="001977B3"/>
    <w:rsid w:val="001A7B40"/>
    <w:rsid w:val="001C60CE"/>
    <w:rsid w:val="001F59AC"/>
    <w:rsid w:val="00207AD8"/>
    <w:rsid w:val="002566B0"/>
    <w:rsid w:val="00261771"/>
    <w:rsid w:val="002628AA"/>
    <w:rsid w:val="0028662A"/>
    <w:rsid w:val="0029208F"/>
    <w:rsid w:val="002B7140"/>
    <w:rsid w:val="002C4EF6"/>
    <w:rsid w:val="002C5CAB"/>
    <w:rsid w:val="002C6575"/>
    <w:rsid w:val="002D4232"/>
    <w:rsid w:val="00314948"/>
    <w:rsid w:val="003537CF"/>
    <w:rsid w:val="0036491C"/>
    <w:rsid w:val="00385EFA"/>
    <w:rsid w:val="003C171B"/>
    <w:rsid w:val="003F595E"/>
    <w:rsid w:val="00400FB4"/>
    <w:rsid w:val="00406092"/>
    <w:rsid w:val="004522B4"/>
    <w:rsid w:val="00467584"/>
    <w:rsid w:val="00493FF6"/>
    <w:rsid w:val="004C52C2"/>
    <w:rsid w:val="004D4B9B"/>
    <w:rsid w:val="00524C7C"/>
    <w:rsid w:val="0052505B"/>
    <w:rsid w:val="005417A1"/>
    <w:rsid w:val="00555819"/>
    <w:rsid w:val="00562F91"/>
    <w:rsid w:val="00565005"/>
    <w:rsid w:val="00576306"/>
    <w:rsid w:val="005955AD"/>
    <w:rsid w:val="00595957"/>
    <w:rsid w:val="005D5477"/>
    <w:rsid w:val="005D6715"/>
    <w:rsid w:val="00605935"/>
    <w:rsid w:val="00616608"/>
    <w:rsid w:val="00631822"/>
    <w:rsid w:val="00642F46"/>
    <w:rsid w:val="00650888"/>
    <w:rsid w:val="006777F5"/>
    <w:rsid w:val="00685B10"/>
    <w:rsid w:val="006961CE"/>
    <w:rsid w:val="006A201E"/>
    <w:rsid w:val="006D7DFE"/>
    <w:rsid w:val="006E32A7"/>
    <w:rsid w:val="006F36AF"/>
    <w:rsid w:val="00711673"/>
    <w:rsid w:val="00712DD6"/>
    <w:rsid w:val="00716617"/>
    <w:rsid w:val="007412B5"/>
    <w:rsid w:val="007D146E"/>
    <w:rsid w:val="00810699"/>
    <w:rsid w:val="00817146"/>
    <w:rsid w:val="0082106F"/>
    <w:rsid w:val="00860DD1"/>
    <w:rsid w:val="008704F9"/>
    <w:rsid w:val="008809CC"/>
    <w:rsid w:val="008917C2"/>
    <w:rsid w:val="008B7BA3"/>
    <w:rsid w:val="008C5D05"/>
    <w:rsid w:val="008D525D"/>
    <w:rsid w:val="00911809"/>
    <w:rsid w:val="00915EEE"/>
    <w:rsid w:val="00923D93"/>
    <w:rsid w:val="00962B6F"/>
    <w:rsid w:val="00963842"/>
    <w:rsid w:val="00A22275"/>
    <w:rsid w:val="00A72A6E"/>
    <w:rsid w:val="00AA7785"/>
    <w:rsid w:val="00AB0FAF"/>
    <w:rsid w:val="00AC0889"/>
    <w:rsid w:val="00AC1132"/>
    <w:rsid w:val="00AF202E"/>
    <w:rsid w:val="00B030F0"/>
    <w:rsid w:val="00B15CEE"/>
    <w:rsid w:val="00B20581"/>
    <w:rsid w:val="00B34DF4"/>
    <w:rsid w:val="00B444EE"/>
    <w:rsid w:val="00B47840"/>
    <w:rsid w:val="00B640C0"/>
    <w:rsid w:val="00B8048F"/>
    <w:rsid w:val="00B91625"/>
    <w:rsid w:val="00C05F87"/>
    <w:rsid w:val="00C06551"/>
    <w:rsid w:val="00C16C94"/>
    <w:rsid w:val="00C25469"/>
    <w:rsid w:val="00C407D6"/>
    <w:rsid w:val="00C61A0C"/>
    <w:rsid w:val="00C64B74"/>
    <w:rsid w:val="00C679FF"/>
    <w:rsid w:val="00CB3633"/>
    <w:rsid w:val="00CB6438"/>
    <w:rsid w:val="00CC5B06"/>
    <w:rsid w:val="00CE3AA6"/>
    <w:rsid w:val="00CE59B2"/>
    <w:rsid w:val="00D33D00"/>
    <w:rsid w:val="00D4427A"/>
    <w:rsid w:val="00D5471F"/>
    <w:rsid w:val="00D72B6B"/>
    <w:rsid w:val="00D822CF"/>
    <w:rsid w:val="00D96AD1"/>
    <w:rsid w:val="00D96C94"/>
    <w:rsid w:val="00DA0175"/>
    <w:rsid w:val="00DC3C68"/>
    <w:rsid w:val="00DE1ED5"/>
    <w:rsid w:val="00DE6CD1"/>
    <w:rsid w:val="00E00226"/>
    <w:rsid w:val="00E01A09"/>
    <w:rsid w:val="00E12A0F"/>
    <w:rsid w:val="00E17830"/>
    <w:rsid w:val="00E37979"/>
    <w:rsid w:val="00E41CFE"/>
    <w:rsid w:val="00E475D7"/>
    <w:rsid w:val="00E57A8B"/>
    <w:rsid w:val="00E702BA"/>
    <w:rsid w:val="00ED1CA8"/>
    <w:rsid w:val="00ED2A3E"/>
    <w:rsid w:val="00EF35CF"/>
    <w:rsid w:val="00F15D61"/>
    <w:rsid w:val="00F717C6"/>
    <w:rsid w:val="00F73031"/>
    <w:rsid w:val="00F871C7"/>
    <w:rsid w:val="00F9001F"/>
    <w:rsid w:val="00FA5CA2"/>
    <w:rsid w:val="00FA7FB2"/>
    <w:rsid w:val="00FB1274"/>
    <w:rsid w:val="00FB413D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  <w14:docId w14:val="166F9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paragraph" w:customStyle="1" w:styleId="TableParagraph">
    <w:name w:val="Table Paragraph"/>
    <w:basedOn w:val="Normal"/>
    <w:uiPriority w:val="1"/>
    <w:qFormat/>
    <w:rsid w:val="0052505B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227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2275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2275"/>
    <w:pPr>
      <w:ind w:left="1644" w:right="1559"/>
      <w:jc w:val="both"/>
    </w:pPr>
    <w:rPr>
      <w:rFonts w:ascii="Arial Narrow" w:hAnsi="Arial Narrow"/>
      <w:b/>
      <w:bCs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2275"/>
    <w:rPr>
      <w:rFonts w:ascii="Arial Narrow" w:eastAsia="Calibri" w:hAnsi="Arial Narrow" w:cs="Times New Roman"/>
      <w:b/>
      <w:bCs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915EEE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995C6C-AEB4-425F-BE0B-C9494B83CB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BB041B-5B92-46C4-BB13-CBACD6FA15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8D820-9150-452F-8158-0C057A0C8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2017-02-10T00:38:00Z</dcterms:created>
  <dcterms:modified xsi:type="dcterms:W3CDTF">2020-03-05T22:44:00Z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